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9F" w:rsidRDefault="00CB4E9F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:rsidR="00803C6A" w:rsidRPr="00D973F1" w:rsidRDefault="00803C6A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C70EAF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  <w:r w:rsidRPr="00C70EAF">
        <w:rPr>
          <w:rFonts w:ascii="Arial" w:hAnsi="Arial" w:cs="Arial"/>
          <w:b/>
          <w:color w:val="333399"/>
          <w:sz w:val="20"/>
          <w:szCs w:val="20"/>
        </w:rPr>
        <w:t>Korszerű pedagógiai módszerek alkalmazását segítő Iskolai Közösségi Program kísérleti megvalósítása a Bék</w:t>
      </w:r>
      <w:r>
        <w:rPr>
          <w:rFonts w:ascii="Arial" w:hAnsi="Arial" w:cs="Arial"/>
          <w:b/>
          <w:color w:val="333399"/>
          <w:sz w:val="20"/>
          <w:szCs w:val="20"/>
        </w:rPr>
        <w:t>éscsabai Tankerületi Központnál</w:t>
      </w:r>
    </w:p>
    <w:p w:rsidR="00803C6A" w:rsidRDefault="00803C6A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D973F1" w:rsidRPr="00803C6A" w:rsidRDefault="00C70EAF" w:rsidP="00D973F1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2019/09/13</w:t>
      </w:r>
    </w:p>
    <w:p w:rsidR="00803C6A" w:rsidRDefault="00803C6A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1214FA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0B202" wp14:editId="73AA0131">
                <wp:simplePos x="0" y="0"/>
                <wp:positionH relativeFrom="column">
                  <wp:posOffset>-23495</wp:posOffset>
                </wp:positionH>
                <wp:positionV relativeFrom="paragraph">
                  <wp:posOffset>29210</wp:posOffset>
                </wp:positionV>
                <wp:extent cx="5806440" cy="6522720"/>
                <wp:effectExtent l="0" t="0" r="22860" b="1143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652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EAF" w:rsidRPr="009134AD" w:rsidRDefault="001214FA" w:rsidP="009134AD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Európai uniós támogatás segítségével m</w:t>
                            </w:r>
                            <w:r w:rsidR="009134AD" w:rsidRPr="009134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egvalósult a</w:t>
                            </w:r>
                            <w:r w:rsidR="00D93B99" w:rsidRPr="009134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 EFOP-3.3.5-17-2017-00038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kód</w:t>
                            </w:r>
                            <w:r w:rsidR="00D93B99" w:rsidRPr="009134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számú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D93B99" w:rsidRPr="009134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„Korszerű pedagógiai módszerek alkalmazását segítő Iskolai Közösségi Program kísérleti megvalósítása a Békéscsabai Tankerületi Központnál” című projekt. </w:t>
                            </w:r>
                            <w:r w:rsidR="00C70EAF" w:rsidRPr="009134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Az elnyert támogatási összeg: 232 650 000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Ft</w:t>
                            </w:r>
                            <w:r w:rsidR="00C70EAF" w:rsidRPr="009134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 Az iskol</w:t>
                            </w:r>
                            <w:r w:rsidR="00D93B99" w:rsidRPr="009134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ai közösségi programokba bevont</w:t>
                            </w:r>
                            <w:r w:rsidR="00C70EAF" w:rsidRPr="009134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tanulók létszáma 4653 fő, 19 megvalósító köznevelési int</w:t>
                            </w:r>
                            <w:bookmarkStart w:id="0" w:name="_GoBack"/>
                            <w:bookmarkEnd w:id="0"/>
                            <w:r w:rsidR="00C70EAF" w:rsidRPr="009134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ézményben.</w:t>
                            </w:r>
                          </w:p>
                          <w:p w:rsidR="00C70EAF" w:rsidRPr="009134AD" w:rsidRDefault="00C70EAF" w:rsidP="009134AD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70EAF" w:rsidRPr="009134AD" w:rsidRDefault="00C70EAF" w:rsidP="009134AD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bentlakásos és napközi formában megvalósuló tematikus ta</w:t>
                            </w:r>
                            <w:r w:rsidR="00D93B99"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nulási alkalmak lebonyolítása </w:t>
                            </w:r>
                            <w:r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2018. június és 2019. jún</w:t>
                            </w:r>
                            <w:r w:rsidR="009134AD"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ius utolsó két hetében valósul</w:t>
                            </w:r>
                            <w:r w:rsid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D93B99"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meg. </w:t>
                            </w:r>
                            <w:r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tematikus napközi keretében 5 nap/hét alatt mi</w:t>
                            </w:r>
                            <w:r w:rsidR="00D93B99"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nden nap legalább 8 órában</w:t>
                            </w:r>
                            <w:r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tematikus program</w:t>
                            </w:r>
                            <w:r w:rsidR="00D93B99"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került</w:t>
                            </w:r>
                            <w:r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megszervezésre, napi négyszeri étkezés mellett. Mindkét típusú program megvalósítása esetében az intézmények pedagógusai, segítők</w:t>
                            </w:r>
                            <w:r w:rsidR="00F210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animátorok, </w:t>
                            </w:r>
                            <w:r w:rsidR="00F2101A"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önkéntesek, valami</w:t>
                            </w:r>
                            <w:r w:rsidR="00F210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nt</w:t>
                            </w:r>
                            <w:r w:rsidR="00F2101A"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iskolai közösségi szolgálato</w:t>
                            </w:r>
                            <w:r w:rsidR="00F210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 teljesítők kerültek bevonásra.</w:t>
                            </w:r>
                            <w:r w:rsidR="00F210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10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Az önkéntesek bevonása </w:t>
                            </w:r>
                            <w:r w:rsidR="00F210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szakmai felkészítéssel kezdődött, majd </w:t>
                            </w:r>
                            <w:r w:rsidR="00F2101A"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programot követően annak értékelésével zárult.</w:t>
                            </w:r>
                          </w:p>
                          <w:p w:rsidR="00D93B99" w:rsidRPr="009134AD" w:rsidRDefault="00D93B99" w:rsidP="009134AD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70EAF" w:rsidRPr="009134AD" w:rsidRDefault="00C70EAF" w:rsidP="009134AD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Az egyes témamodulok (Nomád, kaland (</w:t>
                            </w:r>
                            <w:proofErr w:type="spellStart"/>
                            <w:r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Challenge</w:t>
                            </w:r>
                            <w:proofErr w:type="spellEnd"/>
                            <w:r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Camp), Közlekedés, KRESZ, Idegen nyelv, Környezetvédelem, természetismeret, Környezetvédelem, tudatos fogyasztói magatartás, Nemzeti és kulturális identitás – Hagyományőrzés, anyanyelvápolás, Művészeti nevelés, Sport, egészségre nevelés, Digitális világ, tudatos médiahasználat, Digitális világ, digitális alkotás, Életvezetés, családi életre nevelés, közösségi szerepvállalás) a tankerület által felügyelt intézményekben elvégzett jelentkeztetések alapján, valamint az EFOP 3.2.15 kiemelt projekttel történő szakmai együttműködés keretében kialakított</w:t>
                            </w:r>
                            <w:proofErr w:type="gramEnd"/>
                            <w:r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segédanyagok</w:t>
                            </w:r>
                            <w:proofErr w:type="gramEnd"/>
                            <w:r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mentén </w:t>
                            </w:r>
                            <w:r w:rsidR="00D93B99"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valósultak meg.</w:t>
                            </w:r>
                          </w:p>
                          <w:p w:rsidR="00F2101A" w:rsidRDefault="00F2101A" w:rsidP="009134AD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70EAF" w:rsidRDefault="00C70EAF" w:rsidP="009134AD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projek</w:t>
                            </w:r>
                            <w:r w:rsidR="009134AD"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 szoros együttműködésben végezte </w:t>
                            </w:r>
                            <w:r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tevékenységét az EFOP 3.2.15 kiemelt</w:t>
                            </w:r>
                            <w:r w:rsid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projekt kedvezményezettjével, m</w:t>
                            </w:r>
                            <w:r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ely együttműködés keretében a tankerület pedagógusai a</w:t>
                            </w:r>
                            <w:r w:rsidR="009134AD"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kiemelt projekt képzésein vettek részt</w:t>
                            </w:r>
                            <w:r w:rsid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J</w:t>
                            </w:r>
                            <w:r w:rsidR="009C53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elen projektben</w:t>
                            </w:r>
                            <w:r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sor kerül</w:t>
                            </w:r>
                            <w:r w:rsidR="009134AD"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az EFOP 3.2.15 kiemelt projekt keretében kidolgozott témamodulok, valamint módszertani segédanyagok, tananyagok használatára.</w:t>
                            </w:r>
                          </w:p>
                          <w:p w:rsidR="009134AD" w:rsidRPr="009134AD" w:rsidRDefault="009134AD" w:rsidP="009134AD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70EAF" w:rsidRPr="009134AD" w:rsidRDefault="009134AD" w:rsidP="009134AD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C70EAF"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pályázati felhívással összhangban sor kerül</w:t>
                            </w:r>
                            <w:r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 </w:t>
                            </w:r>
                            <w:r w:rsidR="00C70EAF"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kísérleti jellegű tematikus programokhoz kapcsolódó szolgáltatások, támogató rendszerek és kifejlesztett tartalmak, eszközök, kiadványok tesztelésére mind a 2018-as, mind a 2019-es esztendőben megtartandó tematikus tanulási alkalmak tekintetében. </w:t>
                            </w:r>
                          </w:p>
                          <w:p w:rsidR="00D973F1" w:rsidRDefault="009134AD" w:rsidP="009134AD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projekt részt vett</w:t>
                            </w:r>
                            <w:r w:rsidR="00C70EAF" w:rsidRPr="00913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szálláshely- és programszolgáltató szektor fejlesztésére kialakított minősítési rendszer és kapcsolódó felkészítés eredményességének visszacsatolásában.</w:t>
                            </w:r>
                          </w:p>
                          <w:p w:rsidR="001214FA" w:rsidRDefault="001214FA" w:rsidP="009134AD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214FA" w:rsidRPr="000A321A" w:rsidRDefault="001214FA" w:rsidP="001214FA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A321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 projekt a Széchenyi 2020 program keretében valósul</w:t>
                            </w:r>
                            <w:r w:rsidRPr="000A321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 meg.</w:t>
                            </w:r>
                          </w:p>
                          <w:p w:rsidR="001214FA" w:rsidRDefault="001214FA" w:rsidP="001214FA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214FA" w:rsidRDefault="001214FA" w:rsidP="001214FA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projektről bővebb információt a </w:t>
                            </w:r>
                            <w:hyperlink r:id="rId6" w:history="1">
                              <w:r w:rsidR="000A321A" w:rsidRPr="009E4D9C">
                                <w:rPr>
                                  <w:rStyle w:val="Hiperhivatkozs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www.kk.gov.hu/projektek-bcsaba</w:t>
                              </w:r>
                            </w:hyperlink>
                            <w:r w:rsidR="000A32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oldalon olvashatnak.</w:t>
                            </w:r>
                          </w:p>
                          <w:p w:rsidR="001214FA" w:rsidRDefault="001214FA" w:rsidP="001214FA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214FA" w:rsidRPr="000A321A" w:rsidRDefault="001214FA" w:rsidP="001214FA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803C6A"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További információ kérhető:</w:t>
                            </w:r>
                          </w:p>
                          <w:p w:rsidR="001214FA" w:rsidRDefault="000A321A" w:rsidP="001214FA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Fésűné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Bálint Gizella sajtóreferens</w:t>
                            </w:r>
                          </w:p>
                          <w:p w:rsidR="001214FA" w:rsidRDefault="000A321A" w:rsidP="001214FA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9E4D9C">
                                <w:rPr>
                                  <w:rStyle w:val="Hiperhivatkozs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gizella.balint.fesune@kk.gov.hu</w:t>
                              </w:r>
                            </w:hyperlink>
                          </w:p>
                          <w:p w:rsidR="001214FA" w:rsidRPr="009134AD" w:rsidRDefault="000A321A" w:rsidP="009134AD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+36305121568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0B202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-1.85pt;margin-top:2.3pt;width:457.2pt;height:5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" fillcolor="white [3201]" strokeweight=".5pt">
                <v:textbox>
                  <w:txbxContent>
                    <w:p w:rsidR="00C70EAF" w:rsidRPr="009134AD" w:rsidRDefault="001214FA" w:rsidP="009134AD">
                      <w:pPr>
                        <w:pStyle w:val="Nincstrkz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Európai uniós támogatás segítségével m</w:t>
                      </w:r>
                      <w:r w:rsidR="009134AD" w:rsidRPr="009134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egvalósult a</w:t>
                      </w:r>
                      <w:r w:rsidR="00D93B99" w:rsidRPr="009134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 EFOP-3.3.5-17-2017-00038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kód</w:t>
                      </w:r>
                      <w:r w:rsidR="00D93B99" w:rsidRPr="009134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számú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</w:t>
                      </w:r>
                      <w:r w:rsidR="00D93B99" w:rsidRPr="009134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„Korszerű pedagógiai módszerek alkalmazását segítő Iskolai Közösségi Program kísérleti megvalósítása a Békéscsabai Tankerületi Központnál” című projekt. </w:t>
                      </w:r>
                      <w:r w:rsidR="00C70EAF" w:rsidRPr="009134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Az elnyert támogatási összeg: 232 650 000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Ft</w:t>
                      </w:r>
                      <w:r w:rsidR="00C70EAF" w:rsidRPr="009134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 Az iskol</w:t>
                      </w:r>
                      <w:r w:rsidR="00D93B99" w:rsidRPr="009134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ai közösségi programokba bevont</w:t>
                      </w:r>
                      <w:r w:rsidR="00C70EAF" w:rsidRPr="009134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tanulók létszáma 4653 fő, 19 megvalósító köznevelési int</w:t>
                      </w:r>
                      <w:bookmarkStart w:id="1" w:name="_GoBack"/>
                      <w:bookmarkEnd w:id="1"/>
                      <w:r w:rsidR="00C70EAF" w:rsidRPr="009134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ézményben.</w:t>
                      </w:r>
                    </w:p>
                    <w:p w:rsidR="00C70EAF" w:rsidRPr="009134AD" w:rsidRDefault="00C70EAF" w:rsidP="009134AD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70EAF" w:rsidRPr="009134AD" w:rsidRDefault="00C70EAF" w:rsidP="009134AD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>A bentlakásos és napközi formában megvalósuló tematikus ta</w:t>
                      </w:r>
                      <w:r w:rsidR="00D93B99"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nulási alkalmak lebonyolítása </w:t>
                      </w:r>
                      <w:r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>2018. június és 2019. jún</w:t>
                      </w:r>
                      <w:r w:rsidR="009134AD"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>ius utolsó két hetében valósul</w:t>
                      </w:r>
                      <w:r w:rsid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D93B99"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meg. </w:t>
                      </w:r>
                      <w:r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>A tematikus napközi keretében 5 nap/hét alatt mi</w:t>
                      </w:r>
                      <w:r w:rsidR="00D93B99"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>nden nap legalább 8 órában</w:t>
                      </w:r>
                      <w:r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tematikus program</w:t>
                      </w:r>
                      <w:r w:rsidR="00D93B99"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került</w:t>
                      </w:r>
                      <w:r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megszervezésre, napi négyszeri étkezés mellett. Mindkét típusú program megvalósítása esetében az intézmények pedagógusai, segítők</w:t>
                      </w:r>
                      <w:r w:rsidR="00F210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animátorok, </w:t>
                      </w:r>
                      <w:r w:rsidR="00F2101A"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>önkéntesek, valami</w:t>
                      </w:r>
                      <w:r w:rsidR="00F2101A">
                        <w:rPr>
                          <w:rFonts w:ascii="Arial" w:hAnsi="Arial" w:cs="Arial"/>
                          <w:sz w:val="20"/>
                          <w:szCs w:val="20"/>
                        </w:rPr>
                        <w:t>nt</w:t>
                      </w:r>
                      <w:r w:rsidR="00F2101A"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iskolai közösségi szolgálato</w:t>
                      </w:r>
                      <w:r w:rsidR="00F2101A">
                        <w:rPr>
                          <w:rFonts w:ascii="Arial" w:hAnsi="Arial" w:cs="Arial"/>
                          <w:sz w:val="20"/>
                          <w:szCs w:val="20"/>
                        </w:rPr>
                        <w:t>t teljesítők kerültek bevonásra.</w:t>
                      </w:r>
                      <w:r w:rsidR="00F210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210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Az önkéntesek bevonása </w:t>
                      </w:r>
                      <w:r w:rsidR="00F210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szakmai felkészítéssel kezdődött, majd </w:t>
                      </w:r>
                      <w:r w:rsidR="00F2101A"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>a programot követően annak értékelésével zárult.</w:t>
                      </w:r>
                    </w:p>
                    <w:p w:rsidR="00D93B99" w:rsidRPr="009134AD" w:rsidRDefault="00D93B99" w:rsidP="009134AD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70EAF" w:rsidRPr="009134AD" w:rsidRDefault="00C70EAF" w:rsidP="009134AD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>Az egyes témamodulok (Nomád, kaland (</w:t>
                      </w:r>
                      <w:proofErr w:type="spellStart"/>
                      <w:r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>Challenge</w:t>
                      </w:r>
                      <w:proofErr w:type="spellEnd"/>
                      <w:r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Camp), Közlekedés, KRESZ, Idegen nyelv, Környezetvédelem, természetismeret, Környezetvédelem, tudatos fogyasztói magatartás, Nemzeti és kulturális identitás – Hagyományőrzés, anyanyelvápolás, Művészeti nevelés, Sport, egészségre nevelés, Digitális világ, tudatos médiahasználat, Digitális világ, digitális alkotás, Életvezetés, családi életre nevelés, közösségi szerepvállalás) a tankerület által felügyelt intézményekben elvégzett jelentkeztetések alapján, valamint az EFOP 3.2.15 kiemelt projekttel történő szakmai együttműködés keretében kialakított</w:t>
                      </w:r>
                      <w:proofErr w:type="gramEnd"/>
                      <w:r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>segédanyagok</w:t>
                      </w:r>
                      <w:proofErr w:type="gramEnd"/>
                      <w:r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mentén </w:t>
                      </w:r>
                      <w:r w:rsidR="00D93B99"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>valósultak meg.</w:t>
                      </w:r>
                    </w:p>
                    <w:p w:rsidR="00F2101A" w:rsidRDefault="00F2101A" w:rsidP="009134AD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70EAF" w:rsidRDefault="00C70EAF" w:rsidP="009134AD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>A projek</w:t>
                      </w:r>
                      <w:r w:rsidR="009134AD"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 szoros együttműködésben végezte </w:t>
                      </w:r>
                      <w:r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>tevékenységét az EFOP 3.2.15 kiemelt</w:t>
                      </w:r>
                      <w:r w:rsid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projekt kedvezményezettjével, m</w:t>
                      </w:r>
                      <w:r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>ely együttműködés keretében a tankerület pedagógusai a</w:t>
                      </w:r>
                      <w:r w:rsidR="009134AD"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kiemelt projekt képzésein vettek részt</w:t>
                      </w:r>
                      <w:r w:rsid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>. J</w:t>
                      </w:r>
                      <w:r w:rsidR="009C53D9">
                        <w:rPr>
                          <w:rFonts w:ascii="Arial" w:hAnsi="Arial" w:cs="Arial"/>
                          <w:sz w:val="20"/>
                          <w:szCs w:val="20"/>
                        </w:rPr>
                        <w:t>elen projektben</w:t>
                      </w:r>
                      <w:r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sor kerül</w:t>
                      </w:r>
                      <w:r w:rsidR="009134AD"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az EFOP 3.2.15 kiemelt projekt keretében kidolgozott témamodulok, valamint módszertani segédanyagok, tananyagok használatára.</w:t>
                      </w:r>
                    </w:p>
                    <w:p w:rsidR="009134AD" w:rsidRPr="009134AD" w:rsidRDefault="009134AD" w:rsidP="009134AD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70EAF" w:rsidRPr="009134AD" w:rsidRDefault="009134AD" w:rsidP="009134AD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C70EAF"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pályázati felhívással összhangban sor kerül</w:t>
                      </w:r>
                      <w:r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 </w:t>
                      </w:r>
                      <w:r w:rsidR="00C70EAF"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kísérleti jellegű tematikus programokhoz kapcsolódó szolgáltatások, támogató rendszerek és kifejlesztett tartalmak, eszközök, kiadványok tesztelésére mind a 2018-as, mind a 2019-es esztendőben megtartandó tematikus tanulási alkalmak tekintetében. </w:t>
                      </w:r>
                    </w:p>
                    <w:p w:rsidR="00D973F1" w:rsidRDefault="009134AD" w:rsidP="009134AD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>A projekt részt vett</w:t>
                      </w:r>
                      <w:r w:rsidR="00C70EAF" w:rsidRPr="009134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szálláshely- és programszolgáltató szektor fejlesztésére kialakított minősítési rendszer és kapcsolódó felkészítés eredményességének visszacsatolásában.</w:t>
                      </w:r>
                    </w:p>
                    <w:p w:rsidR="001214FA" w:rsidRDefault="001214FA" w:rsidP="009134AD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214FA" w:rsidRPr="000A321A" w:rsidRDefault="001214FA" w:rsidP="001214FA">
                      <w:pPr>
                        <w:pStyle w:val="Nincstrkz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A321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 projekt a Széchenyi 2020 program keretében valósul</w:t>
                      </w:r>
                      <w:r w:rsidRPr="000A321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 meg.</w:t>
                      </w:r>
                    </w:p>
                    <w:p w:rsidR="001214FA" w:rsidRDefault="001214FA" w:rsidP="001214FA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214FA" w:rsidRDefault="001214FA" w:rsidP="001214FA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projektről bővebb információt a </w:t>
                      </w:r>
                      <w:hyperlink r:id="rId8" w:history="1">
                        <w:r w:rsidR="000A321A" w:rsidRPr="009E4D9C">
                          <w:rPr>
                            <w:rStyle w:val="Hiperhivatkozs"/>
                            <w:rFonts w:ascii="Arial" w:hAnsi="Arial" w:cs="Arial"/>
                            <w:sz w:val="20"/>
                            <w:szCs w:val="20"/>
                          </w:rPr>
                          <w:t>www.kk.gov.hu/projektek-bcsaba</w:t>
                        </w:r>
                      </w:hyperlink>
                      <w:r w:rsidR="000A32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oldalon olvashatnak.</w:t>
                      </w:r>
                    </w:p>
                    <w:p w:rsidR="001214FA" w:rsidRDefault="001214FA" w:rsidP="001214FA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214FA" w:rsidRPr="000A321A" w:rsidRDefault="001214FA" w:rsidP="001214FA">
                      <w:pPr>
                        <w:pStyle w:val="Nincstrkz"/>
                        <w:jc w:val="both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803C6A"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</w:rPr>
                        <w:t>További információ kérhető:</w:t>
                      </w:r>
                    </w:p>
                    <w:p w:rsidR="001214FA" w:rsidRDefault="000A321A" w:rsidP="001214FA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Fésűné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Bálint Gizella sajtóreferens</w:t>
                      </w:r>
                    </w:p>
                    <w:p w:rsidR="001214FA" w:rsidRDefault="000A321A" w:rsidP="001214FA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9" w:history="1">
                        <w:r w:rsidRPr="009E4D9C">
                          <w:rPr>
                            <w:rStyle w:val="Hiperhivatkozs"/>
                            <w:rFonts w:ascii="Arial" w:hAnsi="Arial" w:cs="Arial"/>
                            <w:sz w:val="20"/>
                            <w:szCs w:val="20"/>
                          </w:rPr>
                          <w:t>gizella.balint.fesune@kk.gov.hu</w:t>
                        </w:r>
                      </w:hyperlink>
                    </w:p>
                    <w:p w:rsidR="001214FA" w:rsidRPr="009134AD" w:rsidRDefault="000A321A" w:rsidP="009134AD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+36305121568</w:t>
                      </w:r>
                    </w:p>
                  </w:txbxContent>
                </v:textbox>
              </v:shape>
            </w:pict>
          </mc:Fallback>
        </mc:AlternateConten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Pr="00D973F1" w:rsidRDefault="00D973F1" w:rsidP="00803C6A">
      <w:pPr>
        <w:pStyle w:val="Nincstrkz"/>
        <w:jc w:val="both"/>
        <w:rPr>
          <w:rFonts w:ascii="Arial" w:hAnsi="Arial" w:cs="Arial"/>
          <w:sz w:val="20"/>
          <w:szCs w:val="20"/>
        </w:rPr>
      </w:pPr>
    </w:p>
    <w:sectPr w:rsidR="00D973F1" w:rsidRPr="00D973F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EA1" w:rsidRDefault="008B5EA1" w:rsidP="00D973F1">
      <w:pPr>
        <w:spacing w:after="0" w:line="240" w:lineRule="auto"/>
      </w:pPr>
      <w:r>
        <w:separator/>
      </w:r>
    </w:p>
  </w:endnote>
  <w:endnote w:type="continuationSeparator" w:id="0">
    <w:p w:rsidR="008B5EA1" w:rsidRDefault="008B5EA1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EA1" w:rsidRDefault="008B5EA1" w:rsidP="00D973F1">
      <w:pPr>
        <w:spacing w:after="0" w:line="240" w:lineRule="auto"/>
      </w:pPr>
      <w:r>
        <w:separator/>
      </w:r>
    </w:p>
  </w:footnote>
  <w:footnote w:type="continuationSeparator" w:id="0">
    <w:p w:rsidR="008B5EA1" w:rsidRDefault="008B5EA1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F1" w:rsidRDefault="00E5514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3448685</wp:posOffset>
          </wp:positionH>
          <wp:positionV relativeFrom="paragraph">
            <wp:posOffset>-449580</wp:posOffset>
          </wp:positionV>
          <wp:extent cx="3199765" cy="2209800"/>
          <wp:effectExtent l="0" t="0" r="635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S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220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F1"/>
    <w:rsid w:val="000A321A"/>
    <w:rsid w:val="001214FA"/>
    <w:rsid w:val="00803C6A"/>
    <w:rsid w:val="00866306"/>
    <w:rsid w:val="008B5EA1"/>
    <w:rsid w:val="00907A77"/>
    <w:rsid w:val="009134AD"/>
    <w:rsid w:val="009C53D9"/>
    <w:rsid w:val="00B55BDD"/>
    <w:rsid w:val="00C70EAF"/>
    <w:rsid w:val="00CB4E9F"/>
    <w:rsid w:val="00D93B99"/>
    <w:rsid w:val="00D973F1"/>
    <w:rsid w:val="00DE5D97"/>
    <w:rsid w:val="00E5514A"/>
    <w:rsid w:val="00F2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55850"/>
  <w15:docId w15:val="{F86A2E3C-62C4-476C-AD7C-3EE2BF8A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k.gov.hu/projektek-bcsa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izella.balint.fesune@kk.gov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k.gov.hu/projektek-bcsab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izella.balint.fesune@kk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Ugyan Gabriella</cp:lastModifiedBy>
  <cp:revision>3</cp:revision>
  <dcterms:created xsi:type="dcterms:W3CDTF">2019-09-23T08:55:00Z</dcterms:created>
  <dcterms:modified xsi:type="dcterms:W3CDTF">2019-09-23T08:57:00Z</dcterms:modified>
</cp:coreProperties>
</file>